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申报材料要求</w:t>
      </w:r>
      <w:bookmarkEnd w:id="0"/>
    </w:p>
    <w:p>
      <w:pPr>
        <w:spacing w:line="560" w:lineRule="exact"/>
        <w:jc w:val="center"/>
        <w:rPr>
          <w:rFonts w:hint="eastAsia" w:ascii="黑体" w:hAnsi="黑体" w:eastAsia="黑体"/>
          <w:sz w:val="1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各盟市大赛组织机构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按规定名额和要求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选拔推荐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优秀作品参加第34届内蒙古自治区青少年科技创新大赛（见通知附件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名额数量</w:t>
      </w:r>
      <w:r>
        <w:rPr>
          <w:rFonts w:hint="eastAsia" w:ascii="仿宋_GB2312" w:hAnsi="仿宋_GB2312" w:eastAsia="仿宋_GB2312" w:cs="仿宋_GB2312"/>
          <w:sz w:val="32"/>
          <w:szCs w:val="32"/>
        </w:rPr>
        <w:t>的申报需要提出申请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，按照大赛领导小组办公室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批复结果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青少年科技创新成果竞赛中，小学、初中的项目数均不得少于总申报数的20%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，各学历段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集体项目申报数不得超出该学历段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项目数</w:t>
      </w:r>
      <w:r>
        <w:rPr>
          <w:rFonts w:hint="eastAsia" w:ascii="仿宋_GB2312" w:hAnsi="仿宋_GB2312" w:eastAsia="仿宋_GB2312" w:cs="仿宋_GB2312"/>
          <w:sz w:val="32"/>
          <w:szCs w:val="32"/>
        </w:rPr>
        <w:t>的20%。青少年科技创意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比赛、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少年儿童科学幻想绘画比赛不限制各学历段申报作品比例。青少年机器人竞赛、青少年科学影像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青少年创意编程与智能设计比赛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不限制作品申报数量。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本届大赛申报日期为2018年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0日。请</w:t>
      </w:r>
      <w:r>
        <w:rPr>
          <w:rFonts w:hint="eastAsia" w:ascii="仿宋" w:hAnsi="仿宋" w:eastAsia="仿宋"/>
          <w:sz w:val="32"/>
          <w:szCs w:val="32"/>
        </w:rPr>
        <w:t>各盟市大赛组织机构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日前（以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发件时间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为准）将全部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申报材料汇总快递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内蒙古自治区青少年科技中心，</w:t>
      </w:r>
      <w:r>
        <w:rPr>
          <w:rFonts w:hint="eastAsia" w:ascii="仿宋" w:hAnsi="仿宋" w:eastAsia="仿宋"/>
          <w:sz w:val="32"/>
          <w:szCs w:val="32"/>
        </w:rPr>
        <w:t>逾期视为</w:t>
      </w:r>
      <w:r>
        <w:rPr>
          <w:rFonts w:hint="eastAsia" w:ascii="仿宋" w:hAnsi="仿宋" w:eastAsia="仿宋"/>
          <w:sz w:val="32"/>
          <w:szCs w:val="32"/>
          <w:lang w:eastAsia="zh-CN"/>
        </w:rPr>
        <w:t>无效申报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黑体" w:cs="楷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三、申报材料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申报材料分为盟市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参赛项目材料两类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请各盟市大赛组织机构将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本地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材料汇总整理后以纸质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</w:t>
      </w:r>
      <w:r>
        <w:rPr>
          <w:rFonts w:hint="eastAsia" w:ascii="仿宋_GB2312" w:hAnsi="仿宋_GB2312" w:eastAsia="仿宋_GB2312" w:cs="仿宋_GB2312"/>
          <w:sz w:val="32"/>
          <w:szCs w:val="32"/>
        </w:rPr>
        <w:t>和电子版两种形式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统一提交。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纸质申报材料与电子版材料的信息必须保证完全一致，一旦申报，不得修改。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本届大赛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使用新版项目申报书、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推荐清单、工作报告表等材料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文件模板，为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避免少填、错填信息的情况发生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</w:rPr>
        <w:t>各盟市大赛组织机构登录内蒙古青少年科技创新网站查阅、下载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、更新（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"http://neimenggu.xiaoxiaotong.org"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http://neimenggu.xiaoxiaotong.org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。如已经完成参赛项目申报，可另附页将缺少的信息补充进去。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盟市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组织工作</w:t>
      </w:r>
      <w:r>
        <w:rPr>
          <w:rFonts w:hint="eastAsia" w:ascii="楷体_GB2312" w:hAnsi="楷体_GB2312" w:eastAsia="楷体_GB2312" w:cs="楷体_GB2312"/>
          <w:sz w:val="32"/>
          <w:szCs w:val="32"/>
        </w:rPr>
        <w:t>材料申报要求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材料包括盟市大赛组织机构工作报告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和各类竞赛推荐参赛清单，须同时提交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和电子版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材料需盟市大赛组织机构相关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人确认签名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和骑缝章。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必须与纸质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，不需签字盖章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各盟市大赛组织机构对推荐参赛项目进行审查，符合大赛参赛要求，方可推荐参赛。推荐参赛清单需统一采用Excel或WPS表格软件制作。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不同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竞赛类型的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推荐参赛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细微区别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各盟市应确保申报表和项目清单的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完整性和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集体项目要按照作者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权重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填写作者信息，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所有作者的年级、所在学校等信息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都必须填写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内蒙古青少中心不再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复核参赛信息，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推荐参赛清单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与参赛项目申报材料资料不一致而引发的一切责任由申报单位承担。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（二）参赛项目材料申报要求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１．参赛项目材料可用汉语或蒙古语撰写。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２．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材料统一要求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申报书和查新报告须按要求签字、盖章、粘贴作者照片。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论文和附件材料不要求提交原件（可以为清晰的复印件），除科幻画外，所有申报材料不借退，不作为全国创新大赛申报材料，请自行做好材料备份工作。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材料应与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推荐参赛清单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一一对应，如发现缺少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材料或清单信息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与申报材料不一致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的情况，均视为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无效申报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材料应按照竞赛类型分类打包，统一提交。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３．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电子版材料统一要求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）电子版材料应尽可能完整，与纸质版材料保持一致。初评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以审阅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单个项目的所有电子版材料总体积应控制在10M之内，视频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图片等清晰可见即可。超标部分将视为无效申报，不作为评审依据。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不要求签字、盖章，但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电子版申报书</w:t>
      </w:r>
      <w:r>
        <w:rPr>
          <w:rFonts w:hint="eastAsia" w:ascii="仿宋_GB2312" w:hAnsi="仿宋_GB2312" w:eastAsia="仿宋_GB2312" w:cs="仿宋_GB2312"/>
          <w:sz w:val="32"/>
          <w:szCs w:val="32"/>
        </w:rPr>
        <w:t>须提供作者电子照片。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申报的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电子版材料应存放在单独的文件夹里。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）电子版材料需</w:t>
      </w:r>
      <w:r>
        <w:rPr>
          <w:rFonts w:hint="eastAsia" w:ascii="仿宋_GB2312" w:hAnsi="仿宋_GB2312" w:eastAsia="仿宋_GB2312" w:cs="仿宋_GB2312"/>
          <w:sz w:val="32"/>
          <w:szCs w:val="32"/>
        </w:rPr>
        <w:t>应按照竞赛类型分类打包，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</w:rPr>
        <w:t>刻录成光盘与纸质材料一并提交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提交数据的存放结构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示例如下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instrText xml:space="preserve">INCLUDEPICTURE \d "C:\\Users\\ww\\AppData\\Roaming\\Tencent\\Users\\775205\\QQ\\WinTemp\\RichOle\\4PC[CZ0)ZVK7DT30N)~N7SB.png" \* MERGEFORMATINET </w:instrTex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104765" cy="5122545"/>
            <wp:effectExtent l="0" t="0" r="6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5122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４．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各类竞赛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参赛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青少年科技创新成果竞赛、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科技辅导员科技教育创新成果竞赛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申报材料包括：申报书、查新报告、论文及附件材料各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，所有材料单独装订。要求将所有参赛材料装入一个档案袋，并将申报书第一页复印后贴在档案袋的正面。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所有参赛项目都需要提交研究论文，表述研究过程和研究成果，申报书中的项目简介不能代替论文。如附件材料涉及的活动记录、调查问卷等数量较多的，提供几份比较典型的即可，初评阶段不需全部提交。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初评阶段不提交实物作品，请</w:t>
      </w:r>
      <w:r>
        <w:rPr>
          <w:rFonts w:hint="eastAsia" w:ascii="仿宋_GB2312" w:hAnsi="仿宋_GB2312" w:eastAsia="仿宋_GB2312" w:cs="仿宋_GB2312"/>
          <w:sz w:val="32"/>
          <w:szCs w:val="32"/>
        </w:rPr>
        <w:t>各盟市大赛组织机构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制作实物作品的参赛项目提交作品演示视频。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（２）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青少年科技创意竞赛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申报材料包括：申报书和辅助材料各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，所有材料单独装订。要求将所有参赛材料装入一个档案袋，并将申报书第一页复印后贴在档案袋的正面。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（３）</w:t>
      </w:r>
      <w:r>
        <w:rPr>
          <w:rFonts w:hint="eastAsia" w:ascii="仿宋_GB2312" w:hAnsi="仿宋_GB2312" w:eastAsia="仿宋_GB2312" w:cs="仿宋_GB2312"/>
          <w:sz w:val="32"/>
          <w:szCs w:val="32"/>
        </w:rPr>
        <w:t>青少年科技实践活动比赛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申报材料包括：申报书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、活动资料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和附件材料各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，所有材料单独装订。要求将所有参赛材料装入一个档案袋，并将申报书第一页复印后贴在档案袋的正面。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附件材料涉及的活动记录、学生作业、动植物标本等数量较多的活动成果，提供整体照片和几份比较典型的材料即可。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少年儿童科学幻想绘画比赛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申报书和</w:t>
      </w:r>
      <w:r>
        <w:rPr>
          <w:rFonts w:hint="eastAsia" w:ascii="仿宋_GB2312" w:hAnsi="仿宋_GB2312" w:eastAsia="仿宋_GB2312" w:cs="仿宋_GB2312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赛作品各一份。要求将申报书汇总后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汇总后统一装袋，并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将申报书复印后贴于对应作品背面左上角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。参赛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作品原件要求尺寸规格为标准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　　（５）青少年机器人创意比赛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申报材料包括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申报书、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研制报告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文字与图表共计不超过 7页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)、作品彩色照片（不超过 5 幅）、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项目研发所需材料清单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，所有材料单独装订。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还需提供包含电子版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程序设计（可以使用图形程序设计，使用的语言不限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比特物联网创意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作品可不提交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1-3分钟作品功能演示视频资料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的数据光盘一份。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（６）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青少年科学影像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展评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申报材料包括：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申报书和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附件材料各一份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，所有材料单独装订。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还需提供包含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作品视频资料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的数据光盘一份。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（７）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青少年创意编程与智能设计比赛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创意编程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申报材料包括：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、原创声明及作品说明各一份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，所有材料单独装订。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还需提供包含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参赛程序（Scratch作品）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的数据光盘一份。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智能设计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申报材料包括：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、原创声明及附件材料（作品说明、硬件清单、制作过程图解、接线图）各一份，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所有材料单独装订。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还需提供包含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参赛程序（Arduino作品）和作品演示视频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的数据光盘一份。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（８）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基层创新大赛优秀组织单位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申报材料包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括：申报书和附件材料各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，所有材料单独装订。要求将所有参赛材料装入一个档案袋，并将申报书第一页复印后贴在档案袋的正面。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四、审查工作要求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各盟市大赛组织机构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须认真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审查职责，保证申报者信息和申报材料真实、完整、准确，符合规定。重点核查作品名称、学科、项目类型、参赛者姓名、性别、所在学校、辅导机构、学历、年级、辅导教师等，集体项目的作者顺序，签字盖章部分是否符合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所有参赛项目只能从作者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就读学校所在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盟市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进行申报，否则视为无效申报。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每名参赛者在大赛的一个竞赛类型中，只能申报一项作品，包括集体项目（例：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小明同学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可以同时参加青少年科技创意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比赛、青少年机器人创意比赛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和青少年科技创新成果竞赛，但不能在青少年科技创意竞赛中申报2个项目）。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青少年科技创新成果竞赛的参赛者，可同时申报科技创意竞赛，但不能以同一作品进行申报。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（五）科技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辅导员科技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创新成果竞赛项目只接受个人申报。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基层创新大赛优秀组织单位是对优秀的基层创新大赛进行评审，要求提交大赛组织工作总结。基层创新大赛组织单位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提交其它活动总结或地市级大赛申报参赛的视为无效申报。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A1222"/>
    <w:rsid w:val="75E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Garamond" w:hAnsi="Garamond" w:eastAsia="宋体" w:cs="Garamond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2018-09-27T00:45:00Z</dcterms:created>
  <dc:creator>王伟</dc:creator>
  <cp:lastModifiedBy>王伟</cp:lastModifiedBy>
  <dcterms:modified xsi:type="dcterms:W3CDTF">2018-09-27T00:46:04Z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